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32" w:rsidRDefault="00905D32" w:rsidP="001867A9">
      <w:pPr>
        <w:ind w:left="2160" w:firstLine="720"/>
        <w:rPr>
          <w:rFonts w:ascii="Calibri" w:hAnsi="Calibri"/>
          <w:b/>
          <w:sz w:val="28"/>
          <w:szCs w:val="28"/>
        </w:rPr>
      </w:pPr>
      <w:r w:rsidRPr="005406B9">
        <w:rPr>
          <w:rFonts w:ascii="Calibri" w:hAnsi="Calibri"/>
          <w:b/>
          <w:sz w:val="28"/>
          <w:szCs w:val="28"/>
        </w:rPr>
        <w:t>Executive Committee Meeting</w:t>
      </w:r>
    </w:p>
    <w:p w:rsidR="00905D32" w:rsidRPr="005406B9" w:rsidRDefault="00905D32" w:rsidP="00905D3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</w:t>
      </w:r>
    </w:p>
    <w:p w:rsidR="00905D32" w:rsidRPr="005406B9" w:rsidRDefault="00905D32" w:rsidP="00905D32">
      <w:pPr>
        <w:jc w:val="center"/>
        <w:rPr>
          <w:rFonts w:ascii="Calibri" w:hAnsi="Calibri"/>
          <w:b/>
          <w:sz w:val="28"/>
          <w:szCs w:val="28"/>
        </w:rPr>
      </w:pPr>
      <w:r w:rsidRPr="005406B9">
        <w:rPr>
          <w:rFonts w:ascii="Calibri" w:hAnsi="Calibri"/>
          <w:b/>
          <w:sz w:val="28"/>
          <w:szCs w:val="28"/>
        </w:rPr>
        <w:t xml:space="preserve">Monday, </w:t>
      </w:r>
      <w:r>
        <w:rPr>
          <w:rFonts w:ascii="Calibri" w:hAnsi="Calibri"/>
          <w:b/>
          <w:sz w:val="28"/>
          <w:szCs w:val="28"/>
        </w:rPr>
        <w:t>October 17</w:t>
      </w:r>
      <w:r w:rsidRPr="005406B9">
        <w:rPr>
          <w:rFonts w:ascii="Calibri" w:hAnsi="Calibri"/>
          <w:b/>
          <w:sz w:val="28"/>
          <w:szCs w:val="28"/>
        </w:rPr>
        <w:t>, 2011</w:t>
      </w:r>
    </w:p>
    <w:p w:rsidR="00905D32" w:rsidRPr="005406B9" w:rsidRDefault="00905D32" w:rsidP="00905D32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Parasol</w:t>
      </w:r>
      <w:r w:rsidRPr="005406B9">
        <w:rPr>
          <w:rFonts w:ascii="Calibri" w:hAnsi="Calibri"/>
          <w:b/>
          <w:sz w:val="28"/>
          <w:szCs w:val="28"/>
        </w:rPr>
        <w:t>, 3:30 p.m.</w:t>
      </w:r>
      <w:proofErr w:type="gramEnd"/>
    </w:p>
    <w:p w:rsidR="00686EF2" w:rsidRDefault="00905D32" w:rsidP="00686EF2">
      <w:pPr>
        <w:jc w:val="center"/>
        <w:rPr>
          <w:rFonts w:ascii="Calibri" w:hAnsi="Calibri"/>
          <w:b/>
          <w:sz w:val="28"/>
          <w:szCs w:val="28"/>
        </w:rPr>
      </w:pPr>
      <w:r w:rsidRPr="005406B9">
        <w:rPr>
          <w:rFonts w:ascii="Calibri" w:hAnsi="Calibri"/>
          <w:b/>
          <w:sz w:val="28"/>
          <w:szCs w:val="28"/>
        </w:rPr>
        <w:t>Agenda</w:t>
      </w:r>
    </w:p>
    <w:p w:rsidR="007A0892" w:rsidRDefault="007A0892" w:rsidP="00686EF2">
      <w:pPr>
        <w:jc w:val="center"/>
        <w:rPr>
          <w:rFonts w:ascii="Calibri" w:hAnsi="Calibri"/>
          <w:b/>
          <w:sz w:val="28"/>
          <w:szCs w:val="28"/>
        </w:rPr>
      </w:pPr>
    </w:p>
    <w:p w:rsidR="00686EF2" w:rsidRDefault="00686EF2" w:rsidP="00686EF2">
      <w:pPr>
        <w:rPr>
          <w:rFonts w:ascii="Calibri" w:hAnsi="Calibri"/>
          <w:b/>
          <w:i/>
          <w:color w:val="0070C0"/>
          <w:sz w:val="28"/>
          <w:szCs w:val="28"/>
        </w:rPr>
      </w:pPr>
      <w:r>
        <w:rPr>
          <w:rFonts w:ascii="Calibri" w:hAnsi="Calibri"/>
          <w:b/>
          <w:i/>
          <w:color w:val="0070C0"/>
          <w:sz w:val="28"/>
          <w:szCs w:val="28"/>
        </w:rPr>
        <w:t>Members in attendance:  Art Chapman, Patrick Wright, Allen Biaggi with Cory Ritchie and John Friedrich by phone.</w:t>
      </w:r>
    </w:p>
    <w:p w:rsidR="00686EF2" w:rsidRPr="00686EF2" w:rsidRDefault="00686EF2" w:rsidP="00686EF2">
      <w:pPr>
        <w:rPr>
          <w:rFonts w:ascii="Calibri" w:hAnsi="Calibri"/>
          <w:b/>
          <w:i/>
          <w:color w:val="0070C0"/>
          <w:sz w:val="28"/>
          <w:szCs w:val="28"/>
        </w:rPr>
      </w:pPr>
      <w:r>
        <w:rPr>
          <w:rFonts w:ascii="Calibri" w:hAnsi="Calibri"/>
          <w:b/>
          <w:i/>
          <w:color w:val="0070C0"/>
          <w:sz w:val="28"/>
          <w:szCs w:val="28"/>
        </w:rPr>
        <w:t>Staff:  Roger Kahn and Randy Hill with Bev Ducey by phone.</w:t>
      </w:r>
    </w:p>
    <w:p w:rsidR="00905D32" w:rsidRDefault="00905D32" w:rsidP="00905D32"/>
    <w:p w:rsidR="00905D32" w:rsidRDefault="00905D32" w:rsidP="00905D32"/>
    <w:p w:rsidR="00905D32" w:rsidRDefault="00905D32" w:rsidP="00905D32">
      <w:pPr>
        <w:ind w:left="360"/>
      </w:pPr>
    </w:p>
    <w:p w:rsidR="00905D32" w:rsidRDefault="00905D32" w:rsidP="00905D32">
      <w:pPr>
        <w:numPr>
          <w:ilvl w:val="0"/>
          <w:numId w:val="2"/>
        </w:numPr>
      </w:pPr>
      <w:r>
        <w:t>New Board Member Update</w:t>
      </w:r>
    </w:p>
    <w:p w:rsidR="00FB4521" w:rsidRDefault="00905D32" w:rsidP="00905D32">
      <w:pPr>
        <w:numPr>
          <w:ilvl w:val="1"/>
          <w:numId w:val="1"/>
        </w:numPr>
      </w:pPr>
      <w:r>
        <w:t>Report on recruitment status</w:t>
      </w:r>
    </w:p>
    <w:p w:rsidR="00FB4521" w:rsidRPr="00FB4521" w:rsidRDefault="00FB4521" w:rsidP="00FB4521">
      <w:pPr>
        <w:rPr>
          <w:i/>
          <w:color w:val="0070C0"/>
        </w:rPr>
      </w:pPr>
      <w:r w:rsidRPr="00FB4521">
        <w:rPr>
          <w:i/>
          <w:color w:val="0070C0"/>
        </w:rPr>
        <w:t xml:space="preserve">Cindy has spoken with both Jim Porter and Chuck </w:t>
      </w:r>
      <w:proofErr w:type="spellStart"/>
      <w:proofErr w:type="gramStart"/>
      <w:r w:rsidRPr="00FB4521">
        <w:rPr>
          <w:i/>
          <w:color w:val="0070C0"/>
        </w:rPr>
        <w:t>Scharer</w:t>
      </w:r>
      <w:proofErr w:type="spellEnd"/>
      <w:r w:rsidRPr="00FB4521">
        <w:rPr>
          <w:i/>
          <w:color w:val="0070C0"/>
        </w:rPr>
        <w:t>,</w:t>
      </w:r>
      <w:proofErr w:type="gramEnd"/>
      <w:r w:rsidRPr="00FB4521">
        <w:rPr>
          <w:i/>
          <w:color w:val="0070C0"/>
        </w:rPr>
        <w:t xml:space="preserve"> and both are agreeable to being nominated.  Both have been asked to provide bios.</w:t>
      </w:r>
    </w:p>
    <w:p w:rsidR="00905D32" w:rsidRPr="00FB4521" w:rsidRDefault="00FB4521" w:rsidP="00FB4521">
      <w:pPr>
        <w:rPr>
          <w:color w:val="0070C0"/>
        </w:rPr>
      </w:pPr>
      <w:r w:rsidRPr="00FB4521">
        <w:rPr>
          <w:i/>
          <w:color w:val="0070C0"/>
        </w:rPr>
        <w:t xml:space="preserve">Patrick is to follow up with Steve </w:t>
      </w:r>
      <w:proofErr w:type="gramStart"/>
      <w:r w:rsidRPr="00FB4521">
        <w:rPr>
          <w:i/>
          <w:color w:val="0070C0"/>
        </w:rPr>
        <w:t>Merrill</w:t>
      </w:r>
      <w:r w:rsidR="00905D32" w:rsidRPr="00FB4521">
        <w:rPr>
          <w:color w:val="0070C0"/>
        </w:rPr>
        <w:t xml:space="preserve"> </w:t>
      </w:r>
      <w:r>
        <w:rPr>
          <w:color w:val="0070C0"/>
        </w:rPr>
        <w:t>.</w:t>
      </w:r>
      <w:proofErr w:type="gramEnd"/>
    </w:p>
    <w:p w:rsidR="00905D32" w:rsidRDefault="00905D32" w:rsidP="00905D32">
      <w:pPr>
        <w:numPr>
          <w:ilvl w:val="1"/>
          <w:numId w:val="1"/>
        </w:numPr>
      </w:pPr>
      <w:r>
        <w:t>Need bios by end of month to send to full board for review</w:t>
      </w:r>
    </w:p>
    <w:p w:rsidR="00FB4521" w:rsidRPr="00FB4521" w:rsidRDefault="00FB4521" w:rsidP="00FB4521">
      <w:pPr>
        <w:rPr>
          <w:i/>
          <w:color w:val="0070C0"/>
        </w:rPr>
      </w:pPr>
      <w:proofErr w:type="gramStart"/>
      <w:r>
        <w:rPr>
          <w:i/>
          <w:color w:val="0070C0"/>
        </w:rPr>
        <w:t xml:space="preserve">Agreed that nominee names (Porter and </w:t>
      </w:r>
      <w:proofErr w:type="spellStart"/>
      <w:r>
        <w:rPr>
          <w:i/>
          <w:color w:val="0070C0"/>
        </w:rPr>
        <w:t>Scharer</w:t>
      </w:r>
      <w:proofErr w:type="spellEnd"/>
      <w:r>
        <w:rPr>
          <w:i/>
          <w:color w:val="0070C0"/>
        </w:rPr>
        <w:t>) will be sent via email to the full board prior to the 11/11 board meeting for consideration and vote.</w:t>
      </w:r>
      <w:proofErr w:type="gramEnd"/>
      <w:r>
        <w:rPr>
          <w:i/>
          <w:color w:val="0070C0"/>
        </w:rPr>
        <w:t xml:space="preserve">  Any questions/comments should be made to Cindy by phone.</w:t>
      </w:r>
    </w:p>
    <w:p w:rsidR="00905D32" w:rsidRDefault="00905D32" w:rsidP="00905D32">
      <w:pPr>
        <w:ind w:left="1080"/>
      </w:pPr>
    </w:p>
    <w:p w:rsidR="00905D32" w:rsidRDefault="00905D32" w:rsidP="00905D32">
      <w:pPr>
        <w:numPr>
          <w:ilvl w:val="0"/>
          <w:numId w:val="2"/>
        </w:numPr>
      </w:pPr>
      <w:r>
        <w:t xml:space="preserve">Tahoe Truckee Community Foundation Contract Review </w:t>
      </w:r>
    </w:p>
    <w:p w:rsidR="00686EF2" w:rsidRDefault="00686EF2" w:rsidP="00686EF2">
      <w:pPr>
        <w:rPr>
          <w:i/>
          <w:color w:val="0070C0"/>
        </w:rPr>
      </w:pPr>
      <w:r>
        <w:rPr>
          <w:i/>
          <w:color w:val="0070C0"/>
        </w:rPr>
        <w:t>Upon review of the newly submitted Agency Agreement from TTCF, several requests for additional information were made:</w:t>
      </w:r>
    </w:p>
    <w:p w:rsidR="00686EF2" w:rsidRDefault="00686EF2" w:rsidP="00686EF2">
      <w:pPr>
        <w:pStyle w:val="ListParagraph"/>
        <w:numPr>
          <w:ilvl w:val="0"/>
          <w:numId w:val="3"/>
        </w:numPr>
        <w:rPr>
          <w:i/>
          <w:color w:val="0070C0"/>
        </w:rPr>
      </w:pPr>
      <w:r>
        <w:rPr>
          <w:i/>
          <w:color w:val="0070C0"/>
        </w:rPr>
        <w:t>Termination Clause</w:t>
      </w:r>
    </w:p>
    <w:p w:rsidR="00686EF2" w:rsidRDefault="00686EF2" w:rsidP="00686EF2">
      <w:pPr>
        <w:pStyle w:val="ListParagraph"/>
        <w:numPr>
          <w:ilvl w:val="0"/>
          <w:numId w:val="3"/>
        </w:numPr>
        <w:rPr>
          <w:i/>
          <w:color w:val="0070C0"/>
        </w:rPr>
      </w:pPr>
      <w:r>
        <w:rPr>
          <w:i/>
          <w:color w:val="0070C0"/>
        </w:rPr>
        <w:t>Amount of TTCF funds under management</w:t>
      </w:r>
    </w:p>
    <w:p w:rsidR="00686EF2" w:rsidRDefault="00686EF2" w:rsidP="00686EF2">
      <w:pPr>
        <w:pStyle w:val="ListParagraph"/>
        <w:numPr>
          <w:ilvl w:val="0"/>
          <w:numId w:val="3"/>
        </w:numPr>
        <w:rPr>
          <w:i/>
          <w:color w:val="0070C0"/>
        </w:rPr>
      </w:pPr>
      <w:r>
        <w:rPr>
          <w:i/>
          <w:color w:val="0070C0"/>
        </w:rPr>
        <w:t>Investment vehicles (interest baring, etc)</w:t>
      </w:r>
    </w:p>
    <w:p w:rsidR="00686EF2" w:rsidRDefault="00686EF2" w:rsidP="00686EF2">
      <w:pPr>
        <w:pStyle w:val="ListParagraph"/>
        <w:numPr>
          <w:ilvl w:val="0"/>
          <w:numId w:val="3"/>
        </w:numPr>
        <w:rPr>
          <w:i/>
          <w:color w:val="0070C0"/>
        </w:rPr>
      </w:pPr>
      <w:r>
        <w:rPr>
          <w:i/>
          <w:color w:val="0070C0"/>
        </w:rPr>
        <w:t>Performance/ROI</w:t>
      </w:r>
    </w:p>
    <w:p w:rsidR="00686EF2" w:rsidRPr="00686EF2" w:rsidRDefault="00686EF2" w:rsidP="00686EF2">
      <w:pPr>
        <w:rPr>
          <w:i/>
          <w:color w:val="0070C0"/>
        </w:rPr>
      </w:pPr>
      <w:r>
        <w:rPr>
          <w:i/>
          <w:color w:val="0070C0"/>
        </w:rPr>
        <w:t>Staff to obtain information and report back to EC</w:t>
      </w:r>
    </w:p>
    <w:p w:rsidR="00905D32" w:rsidRPr="000D31A4" w:rsidRDefault="00905D32" w:rsidP="00905D32"/>
    <w:p w:rsidR="00905D32" w:rsidRDefault="00905D32" w:rsidP="00905D32">
      <w:pPr>
        <w:numPr>
          <w:ilvl w:val="0"/>
          <w:numId w:val="2"/>
        </w:numPr>
      </w:pPr>
      <w:r>
        <w:t>Budget Update</w:t>
      </w:r>
    </w:p>
    <w:p w:rsidR="003A3BDA" w:rsidRPr="003A3BDA" w:rsidRDefault="003A3BDA" w:rsidP="003A3BDA">
      <w:pPr>
        <w:rPr>
          <w:i/>
          <w:color w:val="0070C0"/>
        </w:rPr>
      </w:pPr>
      <w:r>
        <w:rPr>
          <w:i/>
          <w:color w:val="0070C0"/>
        </w:rPr>
        <w:t>Tabled until 10/31 to allow for additional data collection</w:t>
      </w:r>
    </w:p>
    <w:p w:rsidR="00905D32" w:rsidRDefault="00905D32" w:rsidP="00905D32"/>
    <w:p w:rsidR="00905D32" w:rsidRDefault="00905D32" w:rsidP="00905D32">
      <w:pPr>
        <w:numPr>
          <w:ilvl w:val="0"/>
          <w:numId w:val="2"/>
        </w:numPr>
      </w:pPr>
      <w:r>
        <w:t>CSG Proposal and Contract Review</w:t>
      </w:r>
    </w:p>
    <w:p w:rsidR="00E87B46" w:rsidRDefault="00E87B46" w:rsidP="00E87B46">
      <w:pPr>
        <w:rPr>
          <w:i/>
          <w:color w:val="0070C0"/>
        </w:rPr>
      </w:pPr>
      <w:r>
        <w:rPr>
          <w:i/>
          <w:color w:val="0070C0"/>
        </w:rPr>
        <w:t>The newly submitted contract was discussed with questions as to the possibility of a reduced fee of $4000 per months as opposed to the proposed fee of $6000 per month recognizing that the Tahoe Fund is still in development with limited operating funds.</w:t>
      </w:r>
    </w:p>
    <w:p w:rsidR="00E87B46" w:rsidRDefault="00E87B46" w:rsidP="00E87B46">
      <w:pPr>
        <w:rPr>
          <w:i/>
          <w:color w:val="0070C0"/>
        </w:rPr>
      </w:pPr>
    </w:p>
    <w:p w:rsidR="00E87B46" w:rsidRDefault="00E87B46" w:rsidP="00E87B46">
      <w:pPr>
        <w:rPr>
          <w:i/>
          <w:color w:val="0070C0"/>
        </w:rPr>
      </w:pPr>
      <w:r>
        <w:rPr>
          <w:i/>
          <w:color w:val="0070C0"/>
        </w:rPr>
        <w:t>Patrick commented that he feels the fees already reflect a reduction, and that there is a link between the CSG contract and the value of the Tahoe Plate program.  While i</w:t>
      </w:r>
      <w:r w:rsidR="00C45A64">
        <w:rPr>
          <w:i/>
          <w:color w:val="0070C0"/>
        </w:rPr>
        <w:t xml:space="preserve">t is difficult to quantify the </w:t>
      </w:r>
      <w:r>
        <w:rPr>
          <w:i/>
          <w:color w:val="0070C0"/>
        </w:rPr>
        <w:t>value of the relationship, it i</w:t>
      </w:r>
      <w:r w:rsidR="00C45A64">
        <w:rPr>
          <w:i/>
          <w:color w:val="0070C0"/>
        </w:rPr>
        <w:t>s evident through benefits which</w:t>
      </w:r>
      <w:r>
        <w:rPr>
          <w:i/>
          <w:color w:val="0070C0"/>
        </w:rPr>
        <w:t xml:space="preserve"> accrue to CTC, and by extension, the Tahoe Fund.</w:t>
      </w:r>
    </w:p>
    <w:p w:rsidR="00C45A64" w:rsidRDefault="00C45A64" w:rsidP="00E87B46">
      <w:pPr>
        <w:rPr>
          <w:i/>
          <w:color w:val="0070C0"/>
        </w:rPr>
      </w:pPr>
      <w:r>
        <w:rPr>
          <w:i/>
          <w:color w:val="0070C0"/>
        </w:rPr>
        <w:lastRenderedPageBreak/>
        <w:t xml:space="preserve">Art underscored this notion by commenting that CSG’s </w:t>
      </w:r>
      <w:proofErr w:type="gramStart"/>
      <w:r>
        <w:rPr>
          <w:i/>
          <w:color w:val="0070C0"/>
        </w:rPr>
        <w:t>support of CTC have</w:t>
      </w:r>
      <w:proofErr w:type="gramEnd"/>
      <w:r>
        <w:rPr>
          <w:i/>
          <w:color w:val="0070C0"/>
        </w:rPr>
        <w:t xml:space="preserve"> potential benefit to the Tahoe Fund.</w:t>
      </w:r>
    </w:p>
    <w:p w:rsidR="00C45A64" w:rsidRDefault="00C45A64" w:rsidP="00E87B46">
      <w:pPr>
        <w:rPr>
          <w:i/>
          <w:color w:val="0070C0"/>
        </w:rPr>
      </w:pPr>
    </w:p>
    <w:p w:rsidR="00C45A64" w:rsidRDefault="00C45A64" w:rsidP="00E87B46">
      <w:pPr>
        <w:rPr>
          <w:i/>
          <w:color w:val="0070C0"/>
        </w:rPr>
      </w:pPr>
      <w:r>
        <w:rPr>
          <w:i/>
          <w:color w:val="0070C0"/>
        </w:rPr>
        <w:t>Art moved and Allen seconded that the EC recommend approval by the board of the CSG contract with a fee not to exceed $6000 per month.</w:t>
      </w:r>
    </w:p>
    <w:p w:rsidR="00C45A64" w:rsidRDefault="00C45A64" w:rsidP="00E87B46">
      <w:pPr>
        <w:rPr>
          <w:i/>
          <w:color w:val="0070C0"/>
        </w:rPr>
      </w:pPr>
    </w:p>
    <w:p w:rsidR="00C45A64" w:rsidRPr="00E87B46" w:rsidRDefault="00C45A64" w:rsidP="00E87B46">
      <w:pPr>
        <w:rPr>
          <w:i/>
          <w:color w:val="0070C0"/>
        </w:rPr>
      </w:pPr>
      <w:r>
        <w:rPr>
          <w:i/>
          <w:color w:val="0070C0"/>
        </w:rPr>
        <w:t>Patrick indicated he though the fee was to be $5000 per month, and indicated he would follow up with CSG for clarification.</w:t>
      </w:r>
    </w:p>
    <w:p w:rsidR="00905D32" w:rsidRDefault="00905D32" w:rsidP="00905D32"/>
    <w:p w:rsidR="00905D32" w:rsidRDefault="00905D32" w:rsidP="00905D32">
      <w:pPr>
        <w:numPr>
          <w:ilvl w:val="0"/>
          <w:numId w:val="2"/>
        </w:numPr>
      </w:pPr>
      <w:r>
        <w:t>By Laws Review – update on Randy’s sampling of non-profits</w:t>
      </w:r>
    </w:p>
    <w:p w:rsidR="00571798" w:rsidRPr="00571798" w:rsidRDefault="00571798" w:rsidP="00571798">
      <w:pPr>
        <w:rPr>
          <w:i/>
          <w:color w:val="0070C0"/>
        </w:rPr>
      </w:pPr>
      <w:r>
        <w:rPr>
          <w:i/>
          <w:color w:val="0070C0"/>
        </w:rPr>
        <w:t>Randy gave a brief overview of findings, which will be formally offered at the 10/31 EC</w:t>
      </w:r>
    </w:p>
    <w:p w:rsidR="00905D32" w:rsidRDefault="00905D32" w:rsidP="00905D32"/>
    <w:p w:rsidR="00905D32" w:rsidRDefault="00905D32" w:rsidP="00905D32">
      <w:pPr>
        <w:numPr>
          <w:ilvl w:val="0"/>
          <w:numId w:val="2"/>
        </w:numPr>
      </w:pPr>
      <w:r>
        <w:t>Update on CA Secretary of the State Filing</w:t>
      </w:r>
    </w:p>
    <w:p w:rsidR="00571798" w:rsidRPr="00571798" w:rsidRDefault="00571798" w:rsidP="00571798">
      <w:pPr>
        <w:rPr>
          <w:i/>
          <w:color w:val="0070C0"/>
        </w:rPr>
      </w:pPr>
      <w:r w:rsidRPr="00571798">
        <w:rPr>
          <w:i/>
          <w:color w:val="0070C0"/>
        </w:rPr>
        <w:t xml:space="preserve">Tom Martens attempted several times to process an amendment to our Articles of Incorporation to match our revised IRS filing.  Cindy has spoken with the office and resubmitted last Wednesday.  </w:t>
      </w:r>
    </w:p>
    <w:p w:rsidR="00571798" w:rsidRDefault="00571798" w:rsidP="00571798">
      <w:pPr>
        <w:rPr>
          <w:i/>
          <w:color w:val="0070C0"/>
        </w:rPr>
      </w:pPr>
      <w:r w:rsidRPr="00571798">
        <w:rPr>
          <w:i/>
          <w:color w:val="0070C0"/>
        </w:rPr>
        <w:t xml:space="preserve">Attorney General’s office alerted us that a form needed to be filed within 30 days of our first deposit.  Cindy has submitted the form along with the background information they requested.  </w:t>
      </w:r>
    </w:p>
    <w:p w:rsidR="00571798" w:rsidRDefault="00571798" w:rsidP="00571798">
      <w:pPr>
        <w:rPr>
          <w:i/>
          <w:color w:val="0070C0"/>
        </w:rPr>
      </w:pPr>
    </w:p>
    <w:p w:rsidR="00571798" w:rsidRDefault="00571798" w:rsidP="00571798">
      <w:pPr>
        <w:rPr>
          <w:i/>
          <w:color w:val="0070C0"/>
        </w:rPr>
      </w:pPr>
      <w:r>
        <w:rPr>
          <w:i/>
          <w:color w:val="0070C0"/>
        </w:rPr>
        <w:t>Cindy advised prior just prior to the EC meeting that she had heard from the AG’s office, and that resubmitted documents had been received and approved without penalty.</w:t>
      </w:r>
    </w:p>
    <w:p w:rsidR="00571798" w:rsidRDefault="00571798" w:rsidP="00571798">
      <w:pPr>
        <w:rPr>
          <w:i/>
          <w:color w:val="0070C0"/>
        </w:rPr>
      </w:pPr>
    </w:p>
    <w:p w:rsidR="00571798" w:rsidRDefault="00571798" w:rsidP="00571798">
      <w:pPr>
        <w:rPr>
          <w:color w:val="0070C0"/>
        </w:rPr>
      </w:pPr>
      <w:r>
        <w:rPr>
          <w:color w:val="0070C0"/>
        </w:rPr>
        <w:t xml:space="preserve">Additional Issues Raised not on the </w:t>
      </w:r>
      <w:r w:rsidR="004421C6">
        <w:rPr>
          <w:color w:val="0070C0"/>
        </w:rPr>
        <w:t>Agenda:</w:t>
      </w:r>
    </w:p>
    <w:p w:rsidR="004421C6" w:rsidRDefault="004421C6" w:rsidP="00571798">
      <w:pPr>
        <w:rPr>
          <w:color w:val="0070C0"/>
        </w:rPr>
      </w:pPr>
    </w:p>
    <w:p w:rsidR="004421C6" w:rsidRPr="004421C6" w:rsidRDefault="004421C6" w:rsidP="00571798">
      <w:pPr>
        <w:rPr>
          <w:color w:val="0070C0"/>
          <w:u w:val="single"/>
        </w:rPr>
      </w:pPr>
      <w:r w:rsidRPr="004421C6">
        <w:rPr>
          <w:color w:val="0070C0"/>
          <w:u w:val="single"/>
        </w:rPr>
        <w:t>Nevada Legislative Oversight Committee</w:t>
      </w:r>
    </w:p>
    <w:p w:rsidR="00571798" w:rsidRDefault="00571798" w:rsidP="00571798">
      <w:pPr>
        <w:rPr>
          <w:i/>
          <w:color w:val="0070C0"/>
        </w:rPr>
      </w:pPr>
    </w:p>
    <w:p w:rsidR="00571798" w:rsidRDefault="00571798" w:rsidP="00571798">
      <w:pPr>
        <w:rPr>
          <w:i/>
          <w:color w:val="0070C0"/>
        </w:rPr>
      </w:pPr>
      <w:r w:rsidRPr="004421C6">
        <w:rPr>
          <w:i/>
          <w:color w:val="0070C0"/>
        </w:rPr>
        <w:t>The Nevada Legislative Oversight Committee has requested our testimony Monday November 14</w:t>
      </w:r>
      <w:r w:rsidRPr="004421C6">
        <w:rPr>
          <w:i/>
          <w:color w:val="0070C0"/>
          <w:vertAlign w:val="superscript"/>
        </w:rPr>
        <w:t>th</w:t>
      </w:r>
      <w:r w:rsidRPr="004421C6">
        <w:rPr>
          <w:i/>
          <w:color w:val="0070C0"/>
        </w:rPr>
        <w:t>, Chateau in Incline 9</w:t>
      </w:r>
      <w:proofErr w:type="gramStart"/>
      <w:r w:rsidRPr="004421C6">
        <w:rPr>
          <w:i/>
          <w:color w:val="0070C0"/>
        </w:rPr>
        <w:t>am</w:t>
      </w:r>
      <w:proofErr w:type="gramEnd"/>
      <w:r w:rsidRPr="004421C6">
        <w:rPr>
          <w:i/>
          <w:color w:val="0070C0"/>
        </w:rPr>
        <w:t xml:space="preserve">. </w:t>
      </w:r>
      <w:proofErr w:type="gramStart"/>
      <w:r w:rsidRPr="004421C6">
        <w:rPr>
          <w:i/>
          <w:color w:val="0070C0"/>
        </w:rPr>
        <w:t>Allen, Cindy and Patrick to coordinate remarks.</w:t>
      </w:r>
      <w:proofErr w:type="gramEnd"/>
      <w:r w:rsidRPr="004421C6">
        <w:rPr>
          <w:i/>
          <w:color w:val="0070C0"/>
        </w:rPr>
        <w:t xml:space="preserve">   </w:t>
      </w:r>
    </w:p>
    <w:p w:rsidR="004421C6" w:rsidRDefault="004421C6" w:rsidP="00571798">
      <w:pPr>
        <w:rPr>
          <w:i/>
          <w:color w:val="0070C0"/>
        </w:rPr>
      </w:pPr>
    </w:p>
    <w:p w:rsidR="004421C6" w:rsidRPr="004421C6" w:rsidRDefault="004421C6" w:rsidP="00571798">
      <w:pPr>
        <w:rPr>
          <w:i/>
          <w:color w:val="0070C0"/>
        </w:rPr>
      </w:pPr>
      <w:r>
        <w:rPr>
          <w:i/>
          <w:color w:val="0070C0"/>
        </w:rPr>
        <w:t>It was agreed that we should be in a position to comment on basis issues</w:t>
      </w:r>
    </w:p>
    <w:p w:rsidR="00571798" w:rsidRPr="00571798" w:rsidRDefault="00571798" w:rsidP="00571798">
      <w:pPr>
        <w:rPr>
          <w:i/>
          <w:color w:val="0070C0"/>
        </w:rPr>
      </w:pPr>
    </w:p>
    <w:p w:rsidR="004421C6" w:rsidRPr="004421C6" w:rsidRDefault="004421C6">
      <w:pPr>
        <w:rPr>
          <w:color w:val="0070C0"/>
          <w:u w:val="single"/>
        </w:rPr>
      </w:pPr>
      <w:r w:rsidRPr="004421C6">
        <w:rPr>
          <w:color w:val="0070C0"/>
          <w:u w:val="single"/>
        </w:rPr>
        <w:t>CSG “Brown Bag” of 10/5 in Sacramento</w:t>
      </w:r>
    </w:p>
    <w:p w:rsidR="00571798" w:rsidRDefault="00571798">
      <w:pPr>
        <w:rPr>
          <w:u w:val="single"/>
        </w:rPr>
      </w:pPr>
    </w:p>
    <w:p w:rsidR="004421C6" w:rsidRDefault="004421C6">
      <w:pPr>
        <w:rPr>
          <w:i/>
          <w:color w:val="0070C0"/>
        </w:rPr>
      </w:pPr>
      <w:r>
        <w:rPr>
          <w:i/>
          <w:color w:val="0070C0"/>
        </w:rPr>
        <w:t xml:space="preserve">Patrick provided </w:t>
      </w:r>
      <w:proofErr w:type="gramStart"/>
      <w:r>
        <w:rPr>
          <w:i/>
          <w:color w:val="0070C0"/>
        </w:rPr>
        <w:t>a debrief</w:t>
      </w:r>
      <w:proofErr w:type="gramEnd"/>
      <w:r>
        <w:rPr>
          <w:i/>
          <w:color w:val="0070C0"/>
        </w:rPr>
        <w:t>:  It was well attended with key legislative staff members in attendance.  Cindy presented a Power Point overview of the Tahoe Fund.</w:t>
      </w:r>
    </w:p>
    <w:p w:rsidR="004421C6" w:rsidRDefault="004421C6">
      <w:pPr>
        <w:rPr>
          <w:i/>
          <w:color w:val="0070C0"/>
        </w:rPr>
      </w:pPr>
    </w:p>
    <w:p w:rsidR="004421C6" w:rsidRDefault="004421C6">
      <w:pPr>
        <w:rPr>
          <w:i/>
          <w:color w:val="0070C0"/>
        </w:rPr>
      </w:pPr>
      <w:r>
        <w:rPr>
          <w:i/>
          <w:color w:val="0070C0"/>
        </w:rPr>
        <w:t>Follow up from a number of attendees:  “What can we do to help get more money into the basin?”</w:t>
      </w:r>
    </w:p>
    <w:p w:rsidR="004421C6" w:rsidRPr="004421C6" w:rsidRDefault="004421C6">
      <w:pPr>
        <w:rPr>
          <w:color w:val="0070C0"/>
          <w:u w:val="single"/>
        </w:rPr>
      </w:pPr>
    </w:p>
    <w:p w:rsidR="004421C6" w:rsidRDefault="004421C6">
      <w:pPr>
        <w:rPr>
          <w:color w:val="0070C0"/>
          <w:u w:val="single"/>
        </w:rPr>
      </w:pPr>
      <w:proofErr w:type="spellStart"/>
      <w:r>
        <w:rPr>
          <w:color w:val="0070C0"/>
          <w:u w:val="single"/>
        </w:rPr>
        <w:t>Montreux</w:t>
      </w:r>
      <w:proofErr w:type="spellEnd"/>
      <w:r>
        <w:rPr>
          <w:color w:val="0070C0"/>
          <w:u w:val="single"/>
        </w:rPr>
        <w:t xml:space="preserve"> Event</w:t>
      </w:r>
    </w:p>
    <w:p w:rsidR="004421C6" w:rsidRDefault="004421C6">
      <w:pPr>
        <w:rPr>
          <w:color w:val="0070C0"/>
          <w:u w:val="single"/>
        </w:rPr>
      </w:pPr>
    </w:p>
    <w:p w:rsidR="004421C6" w:rsidRDefault="004421C6">
      <w:pPr>
        <w:rPr>
          <w:i/>
          <w:color w:val="0070C0"/>
        </w:rPr>
      </w:pPr>
      <w:r>
        <w:rPr>
          <w:i/>
          <w:color w:val="0070C0"/>
        </w:rPr>
        <w:t>It was agreed that we should ask the full board to make suggestions as to other we might invite.</w:t>
      </w:r>
    </w:p>
    <w:p w:rsidR="004421C6" w:rsidRDefault="004421C6">
      <w:pPr>
        <w:rPr>
          <w:i/>
          <w:color w:val="0070C0"/>
        </w:rPr>
      </w:pPr>
      <w:r>
        <w:rPr>
          <w:i/>
          <w:color w:val="0070C0"/>
        </w:rPr>
        <w:t>Roger to follow up and seek board support for solicitations.</w:t>
      </w:r>
    </w:p>
    <w:p w:rsidR="004421C6" w:rsidRDefault="004421C6">
      <w:pPr>
        <w:rPr>
          <w:i/>
          <w:color w:val="0070C0"/>
        </w:rPr>
      </w:pPr>
      <w:r>
        <w:rPr>
          <w:i/>
          <w:color w:val="0070C0"/>
        </w:rPr>
        <w:t>Allen suggest</w:t>
      </w:r>
      <w:r w:rsidR="00ED3C5A">
        <w:rPr>
          <w:i/>
          <w:color w:val="0070C0"/>
        </w:rPr>
        <w:t>ed</w:t>
      </w:r>
      <w:r>
        <w:rPr>
          <w:i/>
          <w:color w:val="0070C0"/>
        </w:rPr>
        <w:t xml:space="preserve"> </w:t>
      </w:r>
      <w:r w:rsidR="00ED3C5A">
        <w:rPr>
          <w:i/>
          <w:color w:val="0070C0"/>
        </w:rPr>
        <w:t>that a short list of “talking points” be made available to board members to assist in making extending the offer to potential attendees.</w:t>
      </w:r>
    </w:p>
    <w:p w:rsidR="00ED3C5A" w:rsidRDefault="00ED3C5A">
      <w:pPr>
        <w:rPr>
          <w:i/>
          <w:color w:val="0070C0"/>
        </w:rPr>
      </w:pPr>
    </w:p>
    <w:p w:rsidR="00ED3C5A" w:rsidRDefault="00ED3C5A">
      <w:pPr>
        <w:rPr>
          <w:color w:val="0070C0"/>
          <w:u w:val="single"/>
        </w:rPr>
      </w:pPr>
      <w:r w:rsidRPr="00ED3C5A">
        <w:rPr>
          <w:color w:val="0070C0"/>
          <w:u w:val="single"/>
        </w:rPr>
        <w:lastRenderedPageBreak/>
        <w:t>Founders’ Circle Extension</w:t>
      </w:r>
    </w:p>
    <w:p w:rsidR="00ED3C5A" w:rsidRDefault="00ED3C5A">
      <w:pPr>
        <w:rPr>
          <w:color w:val="0070C0"/>
          <w:u w:val="single"/>
        </w:rPr>
      </w:pPr>
    </w:p>
    <w:p w:rsidR="00ED3C5A" w:rsidRDefault="00ED3C5A">
      <w:pPr>
        <w:rPr>
          <w:i/>
          <w:color w:val="0070C0"/>
        </w:rPr>
      </w:pPr>
      <w:r>
        <w:rPr>
          <w:i/>
          <w:color w:val="0070C0"/>
        </w:rPr>
        <w:t>It was agreed that with winter approaching, an event to plan for 11/4, and the board meeting on 11/11, the Founder’s Circle program be extended into spring of 2012.  A significant event in the San Francisco Bay Area should be planned.</w:t>
      </w:r>
    </w:p>
    <w:p w:rsidR="00ED3C5A" w:rsidRDefault="00ED3C5A">
      <w:pPr>
        <w:rPr>
          <w:i/>
          <w:color w:val="0070C0"/>
        </w:rPr>
      </w:pPr>
    </w:p>
    <w:p w:rsidR="00ED3C5A" w:rsidRPr="00ED3C5A" w:rsidRDefault="00ED3C5A">
      <w:pPr>
        <w:rPr>
          <w:i/>
          <w:color w:val="0070C0"/>
        </w:rPr>
      </w:pPr>
      <w:r>
        <w:rPr>
          <w:i/>
          <w:color w:val="0070C0"/>
        </w:rPr>
        <w:t>Roger and Vicki to pursue.</w:t>
      </w:r>
    </w:p>
    <w:p w:rsidR="00ED3C5A" w:rsidRPr="00ED3C5A" w:rsidRDefault="00ED3C5A">
      <w:pPr>
        <w:rPr>
          <w:i/>
          <w:color w:val="0070C0"/>
          <w:u w:val="single"/>
        </w:rPr>
      </w:pPr>
    </w:p>
    <w:sectPr w:rsidR="00ED3C5A" w:rsidRPr="00ED3C5A" w:rsidSect="007E5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32A"/>
    <w:multiLevelType w:val="hybridMultilevel"/>
    <w:tmpl w:val="D578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600A9"/>
    <w:multiLevelType w:val="hybridMultilevel"/>
    <w:tmpl w:val="6728E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7822EE"/>
    <w:multiLevelType w:val="hybridMultilevel"/>
    <w:tmpl w:val="F30256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05D32"/>
    <w:rsid w:val="00047AFB"/>
    <w:rsid w:val="001867A9"/>
    <w:rsid w:val="001C5400"/>
    <w:rsid w:val="001E1DC0"/>
    <w:rsid w:val="00265FCE"/>
    <w:rsid w:val="003A3BDA"/>
    <w:rsid w:val="004421C6"/>
    <w:rsid w:val="0049392F"/>
    <w:rsid w:val="004B4B66"/>
    <w:rsid w:val="00571798"/>
    <w:rsid w:val="00686EF2"/>
    <w:rsid w:val="006B1D89"/>
    <w:rsid w:val="007A0892"/>
    <w:rsid w:val="007E5B24"/>
    <w:rsid w:val="00865929"/>
    <w:rsid w:val="008B2E56"/>
    <w:rsid w:val="00905D32"/>
    <w:rsid w:val="0091778A"/>
    <w:rsid w:val="009E1E10"/>
    <w:rsid w:val="009F0A6D"/>
    <w:rsid w:val="00C15CB7"/>
    <w:rsid w:val="00C45A64"/>
    <w:rsid w:val="00E12FAA"/>
    <w:rsid w:val="00E87B46"/>
    <w:rsid w:val="00ED3C5A"/>
    <w:rsid w:val="00EF6D88"/>
    <w:rsid w:val="00FB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3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8</cp:revision>
  <cp:lastPrinted>2011-10-27T23:26:00Z</cp:lastPrinted>
  <dcterms:created xsi:type="dcterms:W3CDTF">2011-10-27T22:26:00Z</dcterms:created>
  <dcterms:modified xsi:type="dcterms:W3CDTF">2011-10-27T23:26:00Z</dcterms:modified>
</cp:coreProperties>
</file>